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946"/>
        <w:tblW w:w="10031.0" w:type="dxa"/>
        <w:jc w:val="left"/>
        <w:tblInd w:w="-115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МИНИСТЕРСТВО НАУКИ И ВЫСШЕГО ОБРАЗОВАНИЯ РОССИЙСКОЙ ФЕДЕРАЦИИ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mallCaps w:val="1"/>
                <w:sz w:val="16"/>
                <w:szCs w:val="16"/>
              </w:rPr>
            </w:pPr>
            <w:r w:rsidDel="00000000" w:rsidR="00000000" w:rsidRPr="00000000">
              <w:rPr>
                <w:smallCaps w:val="1"/>
                <w:sz w:val="15"/>
                <w:szCs w:val="15"/>
                <w:rtl w:val="0"/>
              </w:rPr>
              <w:t xml:space="preserve">ФЕДЕРАЛЬНОЕ ГОСУДАРСТВЕННОЕ АВТОНОМНОЕ ОБРАЗОВАТЕЛЬНОЕ УЧРЕЖДЕНИЕ ВЫСШЕГО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«Национальный исследовательский ядерный университет «МИФИ»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Обнинский институт атомной энергетики –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(ИАТЭ НИЯУ МИФИ)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009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лингвистической подготовки</w:t>
      </w:r>
    </w:p>
    <w:p w:rsidR="00000000" w:rsidDel="00000000" w:rsidP="00000000" w:rsidRDefault="00000000" w:rsidRPr="00000000" w14:paraId="0000000B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19.0" w:type="dxa"/>
        <w:jc w:val="left"/>
        <w:tblInd w:w="5522.0" w:type="dxa"/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УЧЕБНОЙ ДИСЦИПЛИНЫ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Технический английский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студентов направления подготовки: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основная профессиональная образовательная программа: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0" w:line="355" w:lineRule="auto"/>
        <w:ind w:left="902" w:right="0" w:hanging="18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ООП бакалавриата 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3402"/>
        <w:gridCol w:w="4394"/>
        <w:tblGridChange w:id="0">
          <w:tblGrid>
            <w:gridCol w:w="2235"/>
            <w:gridCol w:w="3402"/>
            <w:gridCol w:w="4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компетенций*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УК-4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лингвистические и стилистические особенности иностранного языка научного (для профессиональных целей) общения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Осуществлять поиск и осмысление информации на иностранном языке;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Работать с учебнойи оригинальной литературой по специальности на иностранном языке;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Фиксировать информацию, получаемую при чтении публикации/текста;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Осуществлять реферирование текстов по специальности;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Понимать общенаучного и профессионального характера (в монологической форме и форме диалога);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Культурой делового общения на иностранном языке </w:t>
            </w:r>
          </w:p>
        </w:tc>
      </w:tr>
    </w:tbl>
    <w:bookmarkStart w:colFirst="0" w:colLast="0" w:name="bookmark=id.1fob9te" w:id="2"/>
    <w:bookmarkEnd w:id="2"/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дисциплины в структуре ООП 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Данная дисциплина реализуется в рамках факультативной части ФТД.01 «Гуманитарного, социального и экономического цикла».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точки зрения содержания дисциплина «Технический английский» соотносится с знаниями, получаемыми в результате изучения базовой части профессионально цикла ООП бакалвриата. Кроме того, изучение дисциплины «Технический английский» предполагает использование элементарных умений ведения деловых дискуссий и деловых коммуникаций, формируемых в рамках изучения других дисциплин «Гуманитарного, социального и экономического цикла» для устного и письменного общения на иностранном языке.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изучается на 3, 4 курс</w:t>
      </w:r>
      <w:r w:rsidDel="00000000" w:rsidR="00000000" w:rsidRPr="00000000">
        <w:rPr>
          <w:sz w:val="28"/>
          <w:szCs w:val="28"/>
          <w:rtl w:val="0"/>
        </w:rPr>
        <w:t xml:space="preserve">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7"/>
          <w:tab w:val="left" w:leader="none" w:pos="91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трудоемкость (объем) дисциплины составляет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зачетных единиц (з.е.), 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академических часа.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Объём дисциплины  по видам учебных занятий (в часах)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91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74"/>
        <w:gridCol w:w="880"/>
        <w:gridCol w:w="24"/>
        <w:gridCol w:w="901"/>
        <w:gridCol w:w="6"/>
        <w:gridCol w:w="3506"/>
        <w:tblGridChange w:id="0">
          <w:tblGrid>
            <w:gridCol w:w="4574"/>
            <w:gridCol w:w="880"/>
            <w:gridCol w:w="24"/>
            <w:gridCol w:w="901"/>
            <w:gridCol w:w="6"/>
            <w:gridCol w:w="3506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right" w:leader="none" w:pos="9639"/>
              </w:tabs>
              <w:ind w:left="318" w:hanging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работы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обучения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Заочная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3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 на вид работы: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Контактная работа обучающихся с преподавателем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Аудиторные занятия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лекции</w:t>
            </w:r>
          </w:p>
          <w:p w:rsidR="00000000" w:rsidDel="00000000" w:rsidP="00000000" w:rsidRDefault="00000000" w:rsidRPr="00000000" w14:paraId="00000083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(лекции в интерактивной форме)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08A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(практические занятия в интерактивной форме)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лабораторные занятия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right" w:leader="none" w:pos="9639"/>
              </w:tabs>
              <w:jc w:val="righ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зачет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tabs>
                <w:tab w:val="right" w:leader="none" w:pos="9639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проработка учебного материала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выполнение домашнего задания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 над индивидуальными статьями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 над докладами по индивидуальным статьям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(часы):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(зачетные единицы):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Разделы дисциплины и трудоемкость по видам учебных занятий (в академических часах)</w:t>
      </w:r>
    </w:p>
    <w:tbl>
      <w:tblPr>
        <w:tblStyle w:val="Table6"/>
        <w:tblW w:w="10035.0" w:type="dxa"/>
        <w:jc w:val="left"/>
        <w:tblInd w:w="-142.0" w:type="dxa"/>
        <w:tblLayout w:type="fixed"/>
        <w:tblLook w:val="0000"/>
      </w:tblPr>
      <w:tblGrid>
        <w:gridCol w:w="960"/>
        <w:gridCol w:w="4290"/>
        <w:gridCol w:w="930"/>
        <w:gridCol w:w="930"/>
        <w:gridCol w:w="930"/>
        <w:gridCol w:w="945"/>
        <w:gridCol w:w="945"/>
        <w:gridCol w:w="105"/>
        <w:tblGridChange w:id="0">
          <w:tblGrid>
            <w:gridCol w:w="960"/>
            <w:gridCol w:w="4290"/>
            <w:gridCol w:w="930"/>
            <w:gridCol w:w="930"/>
            <w:gridCol w:w="930"/>
            <w:gridCol w:w="945"/>
            <w:gridCol w:w="945"/>
            <w:gridCol w:w="105"/>
          </w:tblGrid>
        </w:tblGridChange>
      </w:tblGrid>
      <w:tr>
        <w:trPr>
          <w:cantSplit w:val="0"/>
          <w:trHeight w:val="962.16705861105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раздела /темы дисциплины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учебной работы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часах 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718524361385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чная форма обучения</w:t>
            </w:r>
          </w:p>
        </w:tc>
      </w:tr>
      <w:tr>
        <w:trPr>
          <w:cantSplit w:val="0"/>
          <w:trHeight w:val="403.427279898064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.80974777774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Soviet-designed reactors VVER and RBMK VVER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Pressurized Heavy-Water Reactors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history of heavy 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Liquid metal fast breeder reactors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radical energy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за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The power of renewables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A solar grand plan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Fusion’s false dawn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Fusion’s missing pieces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.31078211273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Nuclear Power in Russia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72235287035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за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Прим.: Лек – лекции, Пр – практическиезанятия /семинары,  Лаб – лабораторные занятия, Внеауд – внеаудиторная работа, СРО – самостоятельная работа обучающихся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Содержание дисциплины, структурированное по разделам (темам)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Практические/семинарские занятия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Soviet-designed reactors VVER and RBMK VVER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1. Текст“Soviet-designed reactors VVER and RBMK VVER”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2. Текст «RBMK».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3.Present Tenses (revision)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Pressurized Heavy-Water Reactors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1.Текст « Pressurized Heavy-Water Reactors»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 Past Tenses (revision)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history of heavy 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1.Текст « The history of heavy water»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 Future Tenses (revision).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Liquid metal fast breeder reactors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1. Текст « Liquid metal fast breeder reactors»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2.Present Perfect vs Past Simple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radical energy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widowControl w:val="1"/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Научная статья“7 radical energy solutions”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Infinitive vs –Ing form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The power of renewables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widowControl w:val="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Научная статья“The power of renewables”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Clauses of Reason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 solar grand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widowControl w:val="1"/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Научная статья“A solar grand plan”</w:t>
            </w:r>
          </w:p>
          <w:p w:rsidR="00000000" w:rsidDel="00000000" w:rsidP="00000000" w:rsidRDefault="00000000" w:rsidRPr="00000000" w14:paraId="00000190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Clauses of Purpose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Fusion’s false dawn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widowControl w:val="1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Научная статья “Fusion’s falsedawn”</w:t>
            </w:r>
          </w:p>
          <w:p w:rsidR="00000000" w:rsidDel="00000000" w:rsidP="00000000" w:rsidRDefault="00000000" w:rsidRPr="00000000" w14:paraId="00000194">
            <w:pPr>
              <w:widowControl w:val="1"/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Conditionals (revision)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Fusion’s missing pieces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widowControl w:val="1"/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Научная статья“Fusion’s missing pieces”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Wishes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Nuclear Power in Russia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widowControl w:val="1"/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Научная статья“Nuclear Power in Russia”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Обзор пройденного грамматического и лексического материала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Перечень учебно-методического обеспечения для самостоятельной работы обучающихся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Самостоятельная работа студентов заключается в том, что они выполняют перевод и реферирование текстов по своей специальности на английском языке. При выполнении самостоятельной работы студенты-бакалавры пользуются литературой, указанной в настоящей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Формы контроля самостоятельной работы:</w:t>
      </w:r>
    </w:p>
    <w:p w:rsidR="00000000" w:rsidDel="00000000" w:rsidP="00000000" w:rsidRDefault="00000000" w:rsidRPr="00000000" w14:paraId="000001A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проверка чтения и перевода текстов по своей специальности на английском языке; </w:t>
      </w:r>
    </w:p>
    <w:p w:rsidR="00000000" w:rsidDel="00000000" w:rsidP="00000000" w:rsidRDefault="00000000" w:rsidRPr="00000000" w14:paraId="000001A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подготовка устного сообщения по прочитанному материалу</w:t>
      </w:r>
    </w:p>
    <w:p w:rsidR="00000000" w:rsidDel="00000000" w:rsidP="00000000" w:rsidRDefault="00000000" w:rsidRPr="00000000" w14:paraId="000001A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проверка усвоения специальной терминологии;</w:t>
      </w:r>
    </w:p>
    <w:p w:rsidR="00000000" w:rsidDel="00000000" w:rsidP="00000000" w:rsidRDefault="00000000" w:rsidRPr="00000000" w14:paraId="000001A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самостоятельной работы студентов на третьем курсе должен составлять 25 - 30 тысяч печатных знаков в семестр.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Фонд оценочных средств для проведения промежуточной аттестации обучающихся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Паспорт фонда оценочных средств по дисциплине </w:t>
      </w:r>
    </w:p>
    <w:p w:rsidR="00000000" w:rsidDel="00000000" w:rsidP="00000000" w:rsidRDefault="00000000" w:rsidRPr="00000000" w14:paraId="000001AB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3.0" w:type="dxa"/>
        <w:jc w:val="left"/>
        <w:tblInd w:w="-10.0" w:type="dxa"/>
        <w:tblLayout w:type="fixed"/>
        <w:tblLook w:val="0000"/>
      </w:tblPr>
      <w:tblGrid>
        <w:gridCol w:w="709"/>
        <w:gridCol w:w="3543"/>
        <w:gridCol w:w="2977"/>
        <w:gridCol w:w="2704"/>
        <w:tblGridChange w:id="0">
          <w:tblGrid>
            <w:gridCol w:w="709"/>
            <w:gridCol w:w="3543"/>
            <w:gridCol w:w="2977"/>
            <w:gridCol w:w="2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Текущий контроль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Pressurized Heavy-Water Reactors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(УК-2)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Liquid metal fast breeder reactors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(УК-2)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 2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(УК-2)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Зачетный билет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Всего: Контрольная работа 1, Контрольная работа 2, Зачет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Текущий контроль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solar grand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(УК-2)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Fusion’s missing pieces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(УК-2)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 2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(УК-2)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Зачетный билет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Всего: Контрольная работа 1, Контрольная работа 2, Зачет</w:t>
            </w:r>
          </w:p>
        </w:tc>
      </w:tr>
    </w:tbl>
    <w:p w:rsidR="00000000" w:rsidDel="00000000" w:rsidP="00000000" w:rsidRDefault="00000000" w:rsidRPr="00000000" w14:paraId="000001E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Типовые контрольные задания или иные материалы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6.2.1.Зачет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Типовые вопросы (задания)</w:t>
      </w:r>
    </w:p>
    <w:p w:rsidR="00000000" w:rsidDel="00000000" w:rsidP="00000000" w:rsidRDefault="00000000" w:rsidRPr="00000000" w14:paraId="000001E9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Прочитать и письменно перевести оригинальный текст, освещающий знакомые студентувопросы его будущей специальности (с использованием словаря). Объем текста -1200 -1400п.зн. за 1 академ. час.</w:t>
      </w:r>
    </w:p>
    <w:p w:rsidR="00000000" w:rsidDel="00000000" w:rsidP="00000000" w:rsidRDefault="00000000" w:rsidRPr="00000000" w14:paraId="000001EA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Выполнение лексико-грамматического теста.</w:t>
      </w:r>
    </w:p>
    <w:p w:rsidR="00000000" w:rsidDel="00000000" w:rsidP="00000000" w:rsidRDefault="00000000" w:rsidRPr="00000000" w14:paraId="000001EB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Беседа с экзаменатором по пройденным устным речевым темам.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Критерии оценивания компетенций (результатов):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Письменный перевод текста (с использованием словаря):</w:t>
      </w:r>
    </w:p>
    <w:p w:rsidR="00000000" w:rsidDel="00000000" w:rsidP="00000000" w:rsidRDefault="00000000" w:rsidRPr="00000000" w14:paraId="000001EE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Правильность перевода лексических единиц;</w:t>
      </w:r>
    </w:p>
    <w:p w:rsidR="00000000" w:rsidDel="00000000" w:rsidP="00000000" w:rsidRDefault="00000000" w:rsidRPr="00000000" w14:paraId="000001EF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Соблюдение грамматических, синтаксических, орфографических правил при переводе синостранного языка на родной;</w:t>
      </w:r>
    </w:p>
    <w:p w:rsidR="00000000" w:rsidDel="00000000" w:rsidP="00000000" w:rsidRDefault="00000000" w:rsidRPr="00000000" w14:paraId="000001F0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Соблюдение языковой норы и стиля при переводе с иностранного языка на родной;</w:t>
      </w:r>
    </w:p>
    <w:p w:rsidR="00000000" w:rsidDel="00000000" w:rsidP="00000000" w:rsidRDefault="00000000" w:rsidRPr="00000000" w14:paraId="000001F1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Адекватность перевода текста-оригинала на родной язык.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 с экзаменатором по пройденным устным речевым темам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F3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Лексический запас;</w:t>
      </w:r>
    </w:p>
    <w:p w:rsidR="00000000" w:rsidDel="00000000" w:rsidP="00000000" w:rsidRDefault="00000000" w:rsidRPr="00000000" w14:paraId="000001F4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Оформление высказывания в части морфологии, синтаксиса, фонетики;</w:t>
      </w:r>
    </w:p>
    <w:p w:rsidR="00000000" w:rsidDel="00000000" w:rsidP="00000000" w:rsidRDefault="00000000" w:rsidRPr="00000000" w14:paraId="000001F5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Логичность высказывания;</w:t>
      </w:r>
    </w:p>
    <w:p w:rsidR="00000000" w:rsidDel="00000000" w:rsidP="00000000" w:rsidRDefault="00000000" w:rsidRPr="00000000" w14:paraId="000001F6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Наличие выводов и заключения.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Описание шкалы оценивания:</w:t>
      </w:r>
    </w:p>
    <w:p w:rsidR="00000000" w:rsidDel="00000000" w:rsidP="00000000" w:rsidRDefault="00000000" w:rsidRPr="00000000" w14:paraId="000001F8">
      <w:pPr>
        <w:widowControl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Итоговый рейтинг. </w:t>
      </w:r>
      <w:r w:rsidDel="00000000" w:rsidR="00000000" w:rsidRPr="00000000">
        <w:rPr>
          <w:sz w:val="28"/>
          <w:szCs w:val="28"/>
          <w:rtl w:val="0"/>
        </w:rPr>
        <w:t xml:space="preserve">Поскольку студенты изучают дисциплину «Технический английский» напротяжении двух семестров и заканчивается сдачей зачета, итоговый рейтинг (вес 1,0)включает в себя: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 зачета (устного собеседования) –0,4.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 семестрового рейтинга –0,6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Итоговый рейтинг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60 % (рубежный рейтинг) + 40% (зачет)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00000" w:rsidDel="00000000" w:rsidP="00000000" w:rsidRDefault="00000000" w:rsidRPr="00000000" w14:paraId="000001FE">
      <w:pPr>
        <w:widowControl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Балльно-рейтинговая система оценивания иноязычной коммуникативной компетенции студентов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осуществляется два раза в семестр: контрольная точка № 1 (КТ № 1) и контрольная точка № 2 (КТ № 2).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Style w:val="Table9"/>
        <w:tblW w:w="95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205"/>
        <w:gridCol w:w="30"/>
        <w:gridCol w:w="4498"/>
        <w:gridCol w:w="1421"/>
        <w:gridCol w:w="1431"/>
        <w:tblGridChange w:id="0">
          <w:tblGrid>
            <w:gridCol w:w="2205"/>
            <w:gridCol w:w="30"/>
            <w:gridCol w:w="4498"/>
            <w:gridCol w:w="1421"/>
            <w:gridCol w:w="1431"/>
          </w:tblGrid>
        </w:tblGridChange>
      </w:tblGrid>
      <w:tr>
        <w:trPr>
          <w:cantSplit w:val="1"/>
          <w:trHeight w:val="39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контроля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Минимум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Максимум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Текущий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Контрольная точка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Грамматический тест № 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Лексический тест  № 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Перевод оригинального текста № 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Контрольная точка №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Грамматический тест № 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Лексический тест № 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Перевод оригинального текста № 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Промежуточный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Зачет/Экзамен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left w:w="103.0" w:type="dxa"/>
            </w:tcMar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Письменный перевод оригинального текста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Передача основного содержания оригинального текста на русском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Реферирование статьи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Беседа по специальности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 по дисциплине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000000" w:rsidDel="00000000" w:rsidP="00000000" w:rsidRDefault="00000000" w:rsidRPr="00000000" w14:paraId="00000257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Тесты по разделам проводятся на практических занятиях и включают вопросы по предыдущему разделу. Баллы выставляются преподавателем в соответствии с утвержденной шкалой оценивания.</w:t>
      </w:r>
    </w:p>
    <w:p w:rsidR="00000000" w:rsidDel="00000000" w:rsidP="00000000" w:rsidRDefault="00000000" w:rsidRPr="00000000" w14:paraId="00000258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 w:rsidR="00000000" w:rsidDel="00000000" w:rsidP="00000000" w:rsidRDefault="00000000" w:rsidRPr="00000000" w14:paraId="00000259">
      <w:pPr>
        <w:ind w:firstLine="567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firstLine="567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firstLine="567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Перечень основной и дополнительной учебной литературы, необходимой для освоения дисциплины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основная учебная литература:</w:t>
        <w:tab/>
      </w:r>
    </w:p>
    <w:p w:rsidR="00000000" w:rsidDel="00000000" w:rsidP="00000000" w:rsidRDefault="00000000" w:rsidRPr="00000000" w14:paraId="00000260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1.Аврамова Е. А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NuclearEnglishforUniversityStudents : учеб. пособие по англ. языку / Е. А. Аврамова. - М. : НИЯУ МИФИ , 2013. - 88 с. : ил.  510 экз.</w:t>
      </w:r>
    </w:p>
    <w:p w:rsidR="00000000" w:rsidDel="00000000" w:rsidP="00000000" w:rsidRDefault="00000000" w:rsidRPr="00000000" w14:paraId="00000261">
      <w:pPr>
        <w:widowControl w:val="1"/>
        <w:ind w:firstLine="6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Сафроненко О.И., Макарова Ж.И., Малащенко М.В., Английский язык для магистров и аспирантов естественных факультетов университетов, Москва, «Высшая школа», 2010 (10 экз., кафедра)</w:t>
      </w:r>
    </w:p>
    <w:p w:rsidR="00000000" w:rsidDel="00000000" w:rsidP="00000000" w:rsidRDefault="00000000" w:rsidRPr="00000000" w14:paraId="00000262">
      <w:pPr>
        <w:widowControl w:val="1"/>
        <w:tabs>
          <w:tab w:val="left" w:leader="none" w:pos="851"/>
        </w:tabs>
        <w:ind w:left="709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СмирноваС.Н., ВоробьеваИ.А., Учебноепособие “Nuclear Reactor Types (Learn to Read by Reading)”, Обнинск, 2010(123, экз.)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ind w:firstLine="709"/>
        <w:rPr/>
      </w:pPr>
      <w:r w:rsidDel="00000000" w:rsidR="00000000" w:rsidRPr="00000000">
        <w:rPr>
          <w:sz w:val="28"/>
          <w:szCs w:val="28"/>
          <w:rtl w:val="0"/>
        </w:rPr>
        <w:t xml:space="preserve">4.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ВоробьеваИ. А.</w:t>
      </w:r>
      <w:r w:rsidDel="00000000" w:rsidR="00000000" w:rsidRPr="00000000">
        <w:rPr>
          <w:sz w:val="28"/>
          <w:szCs w:val="28"/>
          <w:rtl w:val="0"/>
        </w:rPr>
        <w:t xml:space="preserve"> Nuclear Reactor Types (Learn to read by reading) :учеб. пособиедлястуд. вузов / И. А. Воробьева, С. Н. Смирнова. - М. :НИЯУМИФИ , 2010. - 268 с. :ил.  150экз.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firstLine="68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дополнительная учебная литература:</w:t>
      </w:r>
    </w:p>
    <w:p w:rsidR="00000000" w:rsidDel="00000000" w:rsidP="00000000" w:rsidRDefault="00000000" w:rsidRPr="00000000" w14:paraId="00000266">
      <w:pPr>
        <w:widowControl w:val="1"/>
        <w:numPr>
          <w:ilvl w:val="0"/>
          <w:numId w:val="1"/>
        </w:numPr>
        <w:tabs>
          <w:tab w:val="left" w:leader="none" w:pos="1080"/>
        </w:tabs>
        <w:ind w:left="0" w:firstLine="6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Raymond Murphy,” English Grammar in Use”, Cambridge University Press, Third Edition, 2004.</w:t>
      </w:r>
    </w:p>
    <w:p w:rsidR="00000000" w:rsidDel="00000000" w:rsidP="00000000" w:rsidRDefault="00000000" w:rsidRPr="00000000" w14:paraId="00000267">
      <w:pPr>
        <w:widowControl w:val="1"/>
        <w:numPr>
          <w:ilvl w:val="0"/>
          <w:numId w:val="9"/>
        </w:numPr>
        <w:tabs>
          <w:tab w:val="left" w:leader="none" w:pos="1080"/>
        </w:tabs>
        <w:ind w:left="0" w:firstLine="6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Воробьева И.А., Учитесь говорить на энергетические темы. NuclearEnergy:  FrequentlyAskedQuestions: Учебное пособие по английскому языку. –  Обнинск: ИАТЭ, 2009.</w:t>
      </w:r>
    </w:p>
    <w:p w:rsidR="00000000" w:rsidDel="00000000" w:rsidP="00000000" w:rsidRDefault="00000000" w:rsidRPr="00000000" w14:paraId="00000268">
      <w:pPr>
        <w:widowControl w:val="1"/>
        <w:numPr>
          <w:ilvl w:val="0"/>
          <w:numId w:val="9"/>
        </w:numPr>
        <w:tabs>
          <w:tab w:val="left" w:leader="none" w:pos="1080"/>
        </w:tabs>
        <w:ind w:left="0" w:firstLine="6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Научно-технические статьи для аудиторного чтения из ScientificAmerican, Nature, Science, NewScientistи других источников, 2001 – 2013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http://ibooks.ru/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http://e.lanbook.com/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http://www.biblio-online.ru/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http://kuperbook.biblioclub.ru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http://www.studentlibrary.ru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http://library.mephi.ru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Методические указания для обучающихся по освоению дисциплины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обучения иностранному языку является развитие у студентов умений и навыков в различных видах речевой деятельности, чтении, говорении, письме, аудировании, что в конечном итоге позволит по окончании изучения дисциплины «Технический английский» достаточно свободно читать литературу по специальности, принимать участие в устном и письменном деловом общении на иностранном языке в пределах тематики, так или иначе связанной с профессией. Следовательно, основной методологический принцип состоит в том, чтобы изучался не иностранный язык вообще, а профессионально ограниченный и тем самым прагматически приемлемый иностранный язык, ориентированный прежде всего на профессию в соответствии с профилем факультета.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как основное коммуникативное умение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Наиболее существенным коммуникативным умением при изучении иностранного языка является чтение, занимающее от 50% до 70% всего учебного времени, а также реферирование и аннотирование иноязычного текста.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Чтение, как речевая деятельность, неоднородно. Оно различается по видам в зависимости от установки читающего на степень и точность понимания прочитанного. Основным показателем зрелости чтения можно считать способность менять стратегию переработки информации в самом процессе чтения. Так, для углубленного понимания текста важно изучить его во всей полноте и деталях, хорошо ориентируясь во всех лексико-грамматических тонкостях. Это характерно для изучающего чтения, которое скорее напоминает процесс перевода, своеобразного декодирования иноязычного текста, чем собственно чтение. Такие виды чтения, как ознакомительное, просмотровое и поисковое, более сходны с процессом чтения на родном языке. При этом чтение выступает, прежде всего, как речевая практика, а не как учебная работа по овладению именно языковым материалом, что в значительной степени характерно для изучающего чтения. Занимаясь этими наиболее распространенными в повседневной и профессиональной жизни видами чтения, студент приобретает умения, необходимые для смысловой, беспереводной переработки информации, он учится выделять в тексте основное содержание, нужные ему факты и детали, учится находить связи и переходы между отдельными фрагментами текст на основе знания некоторых закономерностей его структурно-смысловой организации.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работы над текстом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Структурно-семантический анализ иноязычного текста представляет собой совокупность методических приемов и учебных операций, направленных на выявление грамматических и семантико-синтаксических отношений и связей между элементами текста. При таком подходе к тексту развиваются навыки беспереводного понимания, быстрого, четкого и автоматизированного распознавания единиц несоответствия. Свободное и достаточно полное ориентирование в иностранном тексте в значительной степени определяется: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знанием типовых словообразовательных моделей различных классов слов (частей речи);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знанием типовых моделей образования словосочетаний и синтаксических конструкций как основных единиц структурно-семантической организации текста, умением устанавливать их границы, роль и место в предложении и в тексте;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знанием явления полифункциональности и многозначности лексических единиц;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умением видеть и распознавать "логико-смысловые узлы" текста, отражающие "повороты мысли" автора: начало новой мысли, добавление аргументов, пояснение, завершение ее изложения.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работе над текстом следует обращать внимание на сложные и производные лексические единицы, образованные по определенным словообразовательным моделям, которые по существу являются реальным источником потенциального словаря, так как не требуют обязательного обращения к словарю-справочнику для раскрытия их лексического значения.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производных словах, например, опорами для смысловой догадки служат 1) знакомое значение производящей основы, 2) значение аффикса (суффикса или префикса), 3) часть речи производного слова.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проводить смысловой анализ текста и его отдельных структурных элементов поднимает изучение иностранного языка в вузе на более высокий уровень, приближая этот процесс в методологическом плане к обычному типу умственной деятельности научного работника или высококвалифицированного специалиста.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Рекомендации по переводу текста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переводе рекомендуется следующая последовательность работы над текстом: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Обратите особое внимание на заголовок текста. Прочитайте весь текст до конца и постарайтесь понять его общее содержание.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Приступите к переводу предложений. Прочитайте предложение и определите, простое оно или сложное. Если предложение сложное, разберите его на отдельные предложения (сложноподчиненное – на главное и придаточное, сложносочиненное – на простые). Найдите обороты с неличными формами глагола.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 простом предложении найдите сначала сказуемое (группу сказуемого) по личной форме глагола, по сказуемому определите подлежащее (группу подлежащего) и дополнение (группу дополнения).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Опираясь на знакомые слова, приступите к переводу в таком порядке: группа подлежащего, группа сказуемого, группа дополнения, обстоятельства.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Выделите незнакомые слова и определите, какой частью речи они являются. Обращайте внимание на суффиксы и префиксы этих слов. Для определения их значения применяйте языковую догадку, но проверяйте себя с помощью словаря. Прочитайте все значения слова, приведенные в словарной статье, и выберите наиболее подходящее. При работе со словарем используйте имеющиеся в нем приложения.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Выпишите незнакомые слова, переведите их начерно (дословно).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Приступите к переводу текста.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Проверьте соответствие каждой фразы перевода оригиналу.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Отредактируйте перевод. Освободите текст перевода от несвойственных русскому языку выражений и оборотов.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Перепишите готовый перевод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Презентации доклада.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1.Электронные презентации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современных условиях необходимо иметь навыки по представлению своих исследований в форме электронных презентаций. Для этого на основании ранее подготовленных материалов Вам необходимо подготовить презентации в программе «PowerPoint».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содержанию и оформлению: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2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Требования к содержанию презентации: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2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это научный доклад или презентация сложного исследования (диплом, курсовая работа, проект) на отдельных слайдах следует обозначить цель и задачи своего исследования. Завершиться презентация должна выводом.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2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должна полно отражать содержание подготовленного Вами выступления.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того чтобы Вам легче было это сделать составьте подробный план своего выступления. Этот план и будет заголовками ваших основных слайдов в презентации.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2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– это сокращенное изложение Ваших материалов, поэтому не надо переписывать текст из доклада. Никто не будет читать длинные предложения.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Постарайтесь изложить материалы в виде тезисов, состоящих из коротких нераспространенных предположений. (Например. Предложение «Малый бизнес играет в современной российской экономики различные функции» можно заменить двумя словами «функции малого бизнеса»).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 докладе основной материал – это текст, то в презентации большое место должны занять иллюстративные материалы: графики, схемы, цифры. Комментарии к ним не стоит писать в слайды, Вы их сделаете устно. Те цифры или данные, на которые Вы хотите, чтобы Ваши слушатели обратили внимание, следует выделить контрастным цветом.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Требования к оформлению слайдов.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Любая презентация обязательно должна включать титульный лист, на котором нужно обозначить тему доклада и поставить фамилию автора. Если доклад длинный стоит сделать еще один вступительный слайд, на котором слушателей ознакомить с планом Вашего выступления.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Вы хорошо умеете пользоваться программой «PowerPoint» Вы можете самостоятельно выбрать способ оформления своих слайдов. Если нет, воспользуйтесь шаблонами оформления, которые есть в программе. При выборе шаблона, помните, что ее дизайн не должен контрастировать с содержанием. Если у Вас серьезный доклад стоит выбирать более строгие шаблоны.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делайте слишком много слайдов. Вы будете не просто читать, но и комментировать слайды. На это уходит примерно 1,5 – 2 минуты на каждый слайд, поэтому для пяти минутного выступления не следует делать более 5 содержательных слайдов.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Практические рекомендации по использованию программы MS PowerPoint можно получить на сайтах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http://www.it-n.ru/materials.aspx?cat_no=242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http://www.spsl.nsc.ru/win/obsemin/obswin/o_nov.html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 местом использования информационных технологий являются компьютерные классы, оснащенные компьютерами со следующими техническими характеристиками: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Программное обеспечение MS Office.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Internet (Explorer, Chrome, Mozilla, Firefox).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Преподавательские блоги в сети Интернет.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Электронная почта.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Проигрыватель Windows Media.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Мультимедийный проектор для презентации и контроля проектных работ. </w:t>
      </w:r>
    </w:p>
    <w:p w:rsidR="00000000" w:rsidDel="00000000" w:rsidP="00000000" w:rsidRDefault="00000000" w:rsidRPr="00000000" w14:paraId="000002A6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Описание материально-технической базы, необходимой для осуществления образовательного процесса по дисциплине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обеспечения традиционных и активных форм проведения занятий по дисциплине предусмотрены следующие виды обеспечения: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Методическое обеспечение: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 по иностранному языку (в том числе электронные);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периодические издания;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 Всероссийских и международных конференций по проблеме на иностранном языке;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оборудование (ПК) для практических занятий;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аудио-и видеоматериалы;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Интернет-ресурсы;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2.Аудиторное обеспечение: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мультимедийные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3.Техническое обеспечение: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Компьютерные презентации по основным темам дисциплины.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Маркерная доска.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Иные сведения и (или) материалы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tbl>
      <w:tblPr>
        <w:tblStyle w:val="Table10"/>
        <w:tblW w:w="10000.0" w:type="dxa"/>
        <w:jc w:val="left"/>
        <w:tblInd w:w="-40.0" w:type="dxa"/>
        <w:tblLayout w:type="fixed"/>
        <w:tblLook w:val="0000"/>
      </w:tblPr>
      <w:tblGrid>
        <w:gridCol w:w="606"/>
        <w:gridCol w:w="2252"/>
        <w:gridCol w:w="1746"/>
        <w:gridCol w:w="1490"/>
        <w:gridCol w:w="3906"/>
        <w:tblGridChange w:id="0">
          <w:tblGrid>
            <w:gridCol w:w="606"/>
            <w:gridCol w:w="2252"/>
            <w:gridCol w:w="1746"/>
            <w:gridCol w:w="1490"/>
            <w:gridCol w:w="3906"/>
          </w:tblGrid>
        </w:tblGridChange>
      </w:tblGrid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2B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занятий (лекция, семинары, практические занятия)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 ак. ч.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shd w:fill="ffffff" w:val="clear"/>
              <w:tabs>
                <w:tab w:val="left" w:leader="none" w:pos="9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активных и интерактивных форм проведения занятий</w:t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Energy solutions</w:t>
            </w:r>
          </w:p>
          <w:p w:rsidR="00000000" w:rsidDel="00000000" w:rsidP="00000000" w:rsidRDefault="00000000" w:rsidRPr="00000000" w14:paraId="000002C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Практическое занятие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Дебаты</w:t>
            </w:r>
          </w:p>
          <w:p w:rsidR="00000000" w:rsidDel="00000000" w:rsidP="00000000" w:rsidRDefault="00000000" w:rsidRPr="00000000" w14:paraId="000002C4">
            <w:pPr>
              <w:shd w:fill="ffffff" w:val="clear"/>
              <w:ind w:firstLine="7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Fusion</w:t>
            </w:r>
          </w:p>
          <w:p w:rsidR="00000000" w:rsidDel="00000000" w:rsidP="00000000" w:rsidRDefault="00000000" w:rsidRPr="00000000" w14:paraId="000002C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Практическое занятие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ind w:firstLine="77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Конференция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12.2.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Radioactive 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Radioactive Wastes: Myths and Realities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Many Uses of Nuclear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Приборостроение.</w:t>
      </w:r>
    </w:p>
    <w:p w:rsidR="00000000" w:rsidDel="00000000" w:rsidP="00000000" w:rsidRDefault="00000000" w:rsidRPr="00000000" w14:paraId="000002D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Программу составил:</w:t>
      </w:r>
    </w:p>
    <w:p w:rsidR="00000000" w:rsidDel="00000000" w:rsidP="00000000" w:rsidRDefault="00000000" w:rsidRPr="00000000" w14:paraId="000002D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О. В. Прохорова, старший преподаватель кафедры ИНО</w:t>
      </w:r>
    </w:p>
    <w:p w:rsidR="00000000" w:rsidDel="00000000" w:rsidP="00000000" w:rsidRDefault="00000000" w:rsidRPr="00000000" w14:paraId="000002D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Рецензент:</w:t>
      </w:r>
    </w:p>
    <w:p w:rsidR="00000000" w:rsidDel="00000000" w:rsidP="00000000" w:rsidRDefault="00000000" w:rsidRPr="00000000" w14:paraId="000002D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</w:t>
      </w:r>
    </w:p>
    <w:p w:rsidR="00000000" w:rsidDel="00000000" w:rsidP="00000000" w:rsidRDefault="00000000" w:rsidRPr="00000000" w14:paraId="000002E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even"/>
      <w:pgSz w:h="16837" w:w="11905" w:orient="portrait"/>
      <w:pgMar w:bottom="851" w:top="851" w:left="1418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1080" w:hanging="720"/>
      </w:pPr>
      <w:rPr/>
    </w:lvl>
    <w:lvl w:ilvl="2">
      <w:start w:val="2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tudentlibrary.ru" TargetMode="External"/><Relationship Id="rId10" Type="http://schemas.openxmlformats.org/officeDocument/2006/relationships/hyperlink" Target="http://kuperbook.biblioclub.ru" TargetMode="External"/><Relationship Id="rId13" Type="http://schemas.openxmlformats.org/officeDocument/2006/relationships/footer" Target="footer2.xml"/><Relationship Id="rId12" Type="http://schemas.openxmlformats.org/officeDocument/2006/relationships/hyperlink" Target="http://library.mephi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blio-online.ru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books.ru/" TargetMode="External"/><Relationship Id="rId8" Type="http://schemas.openxmlformats.org/officeDocument/2006/relationships/hyperlink" Target="http://e.lanbook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UAyO5ccliOiVMvtbMXWRBMtXw==">CgMxLjAyCWlkLmdqZGd4czIJaC4zMGowemxsMgppZC4xZm9iOXRlMgppZC4zem55c2g3MgppZC4yZXQ5MnAwMglpZC50eWpjd3Q4AHIhMThjc2JXQlJLLUN3S1FvZ1ZqcXJIeDdDdmdoanNaX0FG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